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5"/>
        <w:jc w:val="center"/>
        <w:rPr>
          <w:b/>
        </w:rPr>
      </w:pPr>
      <w:r>
        <w:rPr>
          <w:b/>
        </w:rPr>
        <w:t xml:space="preserve">к проект</w:t>
      </w:r>
      <w:r>
        <w:rPr>
          <w:b/>
        </w:rPr>
        <w:t xml:space="preserve">у закона Новосибирской </w:t>
      </w:r>
      <w:r>
        <w:rPr>
          <w:b/>
        </w:rPr>
        <w:t xml:space="preserve">области </w:t>
      </w:r>
      <w:r>
        <w:rPr>
          <w:b/>
        </w:rPr>
        <w:t xml:space="preserve">«</w:t>
      </w:r>
      <w:r>
        <w:rPr>
          <w:b/>
        </w:rPr>
        <w:t xml:space="preserve">О внесении изменений в статью 3 Закона Новосибирской области</w:t>
      </w:r>
      <w:r>
        <w:rPr>
          <w:b/>
        </w:rPr>
        <w:t xml:space="preserve"> </w:t>
      </w:r>
      <w:r>
        <w:rPr>
          <w:b/>
          <w:bCs/>
        </w:rPr>
        <w:t xml:space="preserve">«О порядке и условиях предоставления компенсаций расходов на оплату жилого помещения и (или) коммунальных услуг отдельным категориям граждан, проживающих на территории Новосибирской области» </w:t>
      </w:r>
      <w:r>
        <w:rPr>
          <w:b/>
        </w:rPr>
      </w:r>
      <w:r>
        <w:rPr>
          <w:b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Реализация </w:t>
      </w:r>
      <w:r>
        <w:rPr>
          <w:b w:val="0"/>
          <w:bCs w:val="0"/>
        </w:rPr>
        <w:t xml:space="preserve">закона Новосибирской </w:t>
      </w:r>
      <w:r>
        <w:rPr>
          <w:b w:val="0"/>
          <w:bCs w:val="0"/>
        </w:rPr>
        <w:t xml:space="preserve">области </w:t>
      </w:r>
      <w:r>
        <w:rPr>
          <w:b w:val="0"/>
          <w:bCs w:val="0"/>
        </w:rPr>
        <w:t xml:space="preserve">«</w:t>
      </w:r>
      <w:r>
        <w:rPr>
          <w:b w:val="0"/>
          <w:bCs w:val="0"/>
        </w:rPr>
        <w:t xml:space="preserve">О внесении изменений в статью 3 Закона Новосибирской области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«О порядке и условиях предоставления компенсаций расходов на оплату жилого помещения и (или) коммунальных услуг отдельным категориям граждан, проживающих на территории Новосибирской области»</w:t>
      </w:r>
      <w:r>
        <w:rPr>
          <w:b w:val="0"/>
          <w:bCs w:val="0"/>
          <w:sz w:val="28"/>
          <w:szCs w:val="28"/>
        </w:rPr>
        <w:t xml:space="preserve"> (далее – закон) </w:t>
      </w:r>
      <w:r>
        <w:rPr>
          <w:sz w:val="28"/>
          <w:szCs w:val="28"/>
        </w:rPr>
        <w:t xml:space="preserve">будет осуществляться в рамках полномочия Новосибирской области «</w:t>
      </w:r>
      <w:r>
        <w:rPr>
          <w:sz w:val="28"/>
          <w:szCs w:val="28"/>
        </w:rPr>
        <w:t xml:space="preserve">Социальная поддержка и социальное обслуживание граждан пожи</w:t>
      </w:r>
      <w:r>
        <w:rPr>
          <w:sz w:val="28"/>
          <w:szCs w:val="28"/>
        </w:rPr>
        <w:t xml:space="preserve">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 (за исключением детей, обучающихся в федеральных государственных образовательных организациях),</w:t>
      </w:r>
      <w:r>
        <w:rPr>
          <w:sz w:val="28"/>
          <w:szCs w:val="28"/>
        </w:rPr>
        <w:t xml:space="preserve"> социальной поддержки ветеранов труда, лиц, проработавших в тылу в период Великой Отечественной войны 1941 - 1945 годов, семей, имеющих детей (в том числе многодетных семей, одиноких родителей), жертв политических репрессий, малоимущих граждан, в том числе</w:t>
      </w:r>
      <w:r>
        <w:rPr>
          <w:sz w:val="28"/>
          <w:szCs w:val="28"/>
        </w:rPr>
        <w:t xml:space="preserve"> за счет предоставления субвенций местным бюджетам для выплаты пособий на оплату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</w:t>
      </w:r>
      <w:r>
        <w:rPr>
          <w:sz w:val="28"/>
          <w:szCs w:val="28"/>
        </w:rPr>
        <w:t xml:space="preserve">едерации льгот отдельным категориям граждан, в том числе льгот по оплате услуг связи, организация предоставления гражданам субсидий на оплату жилых помещений и коммунальных услуг (в части предоставления мер социальной поддержки льготным категориям граждан)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Новоси</w:t>
      </w:r>
      <w:r>
        <w:rPr>
          <w:sz w:val="28"/>
          <w:szCs w:val="28"/>
        </w:rPr>
        <w:t xml:space="preserve">бирской области от </w:t>
      </w:r>
      <w:r>
        <w:rPr>
          <w:sz w:val="28"/>
          <w:szCs w:val="28"/>
          <w:highlight w:val="white"/>
        </w:rPr>
        <w:t xml:space="preserve">19 декабря 2025 года № 37-ОЗ</w:t>
      </w:r>
      <w:r>
        <w:rPr>
          <w:sz w:val="28"/>
          <w:szCs w:val="28"/>
        </w:rPr>
        <w:t xml:space="preserve"> «Об областном бюджете Нов</w:t>
      </w:r>
      <w:r>
        <w:rPr>
          <w:sz w:val="28"/>
          <w:szCs w:val="28"/>
        </w:rPr>
        <w:t xml:space="preserve">осибирской области на 202</w:t>
      </w:r>
      <w:r>
        <w:rPr>
          <w:sz w:val="28"/>
          <w:szCs w:val="28"/>
        </w:rPr>
        <w:t xml:space="preserve">6 год и плановый</w:t>
      </w:r>
      <w:r>
        <w:rPr>
          <w:sz w:val="28"/>
          <w:szCs w:val="28"/>
        </w:rPr>
        <w:t xml:space="preserve"> период 202</w:t>
      </w:r>
      <w:r>
        <w:rPr>
          <w:sz w:val="28"/>
          <w:szCs w:val="28"/>
        </w:rPr>
        <w:t xml:space="preserve">7 и 202</w:t>
      </w:r>
      <w:r>
        <w:rPr>
          <w:sz w:val="28"/>
          <w:szCs w:val="28"/>
        </w:rPr>
        <w:t xml:space="preserve">8 годов» </w:t>
      </w:r>
      <w:r>
        <w:rPr>
          <w:sz w:val="28"/>
          <w:szCs w:val="28"/>
        </w:rPr>
        <w:t xml:space="preserve">министерству </w:t>
      </w:r>
      <w:r>
        <w:rPr>
          <w:sz w:val="28"/>
          <w:szCs w:val="28"/>
        </w:rPr>
        <w:t xml:space="preserve">труда и социального развития Новосибирской области (далее – министерство)</w:t>
      </w:r>
      <w:r>
        <w:rPr>
          <w:sz w:val="28"/>
          <w:szCs w:val="28"/>
        </w:rPr>
        <w:t xml:space="preserve"> предусмотрены бюджетные ассигнования на: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 компенсацию расходов по оплате жилого помещения и коммунальных услуг, приобретению топлива и газоснабжению реабилитированным лицам и лицам, признанным пострадавшими от политических репрессий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КБК 0</w:t>
      </w:r>
      <w:r>
        <w:rPr>
          <w:sz w:val="28"/>
          <w:szCs w:val="28"/>
        </w:rPr>
        <w:t xml:space="preserve">23 1003 2830404130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– 187 220 000</w:t>
      </w:r>
      <w:r>
        <w:rPr>
          <w:sz w:val="28"/>
          <w:szCs w:val="28"/>
        </w:rPr>
        <w:t xml:space="preserve">,00 рублей на 2026 год и 191 650 000,00 рублей ежегодно на 202</w:t>
      </w:r>
      <w:r>
        <w:rPr>
          <w:sz w:val="28"/>
          <w:szCs w:val="28"/>
        </w:rPr>
        <w:t xml:space="preserve">7 – 202</w:t>
      </w:r>
      <w:r>
        <w:rPr>
          <w:sz w:val="28"/>
          <w:szCs w:val="28"/>
        </w:rPr>
        <w:t xml:space="preserve">8 годы;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 компенсацию расходов по оплате жилого помещения и коммунальных услуг, приобретению топлива и газоснабжению ветеранам труда Российской Федерации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КБК 023</w:t>
      </w:r>
      <w:r>
        <w:rPr>
          <w:sz w:val="28"/>
          <w:szCs w:val="28"/>
        </w:rPr>
        <w:t xml:space="preserve"> 1003 2830404340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– 2 088 920 000</w:t>
      </w:r>
      <w:r>
        <w:rPr>
          <w:sz w:val="28"/>
          <w:szCs w:val="28"/>
        </w:rPr>
        <w:t xml:space="preserve">,00 рублей </w:t>
      </w:r>
      <w:r>
        <w:rPr>
          <w:sz w:val="28"/>
          <w:szCs w:val="28"/>
        </w:rPr>
        <w:t xml:space="preserve">на 2026 год и 2 138 360 000,00 рублей ежегодно на 202</w:t>
      </w:r>
      <w:r>
        <w:rPr>
          <w:sz w:val="28"/>
          <w:szCs w:val="28"/>
        </w:rPr>
        <w:t xml:space="preserve">7 – 202</w:t>
      </w:r>
      <w:r>
        <w:rPr>
          <w:sz w:val="28"/>
          <w:szCs w:val="28"/>
        </w:rPr>
        <w:t xml:space="preserve">8 годы;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компенсацию расходов по оплате жилого помещения и коммунальных услуг, приобретению топл</w:t>
      </w:r>
      <w:r>
        <w:rPr>
          <w:sz w:val="28"/>
          <w:szCs w:val="28"/>
        </w:rPr>
        <w:t xml:space="preserve">ива и газоснабжению ветеранам труда Новосибирской области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КБК 023</w:t>
      </w:r>
      <w:r>
        <w:rPr>
          <w:sz w:val="28"/>
          <w:szCs w:val="28"/>
        </w:rPr>
        <w:t xml:space="preserve"> 1003 2830404360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– 3 178 470 000</w:t>
      </w:r>
      <w:r>
        <w:rPr>
          <w:sz w:val="28"/>
          <w:szCs w:val="28"/>
        </w:rPr>
        <w:t xml:space="preserve">,00 рублей </w:t>
      </w:r>
      <w:r>
        <w:rPr>
          <w:sz w:val="28"/>
          <w:szCs w:val="28"/>
        </w:rPr>
        <w:t xml:space="preserve">на 2026 год и 3 253 680 000,00 рублей ежегодно на 202</w:t>
      </w:r>
      <w:r>
        <w:rPr>
          <w:sz w:val="28"/>
          <w:szCs w:val="28"/>
        </w:rPr>
        <w:t xml:space="preserve">7 – 202</w:t>
      </w:r>
      <w:r>
        <w:rPr>
          <w:sz w:val="28"/>
          <w:szCs w:val="28"/>
        </w:rPr>
        <w:t xml:space="preserve">8 годы;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компенсацию расходов по оплате жилого помещения и коммунальных услуг, приобретению топлива и газоснабжению лицам, имеющим почетное звание Российской Федерации, РСФСР или СССР, проживающих на территории Новосибирской области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КБК 023 1003 2830404390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– 5 090 000</w:t>
      </w:r>
      <w:r>
        <w:rPr>
          <w:sz w:val="28"/>
          <w:szCs w:val="28"/>
        </w:rPr>
        <w:t xml:space="preserve">,00 рублей </w:t>
      </w:r>
      <w:r>
        <w:rPr>
          <w:sz w:val="28"/>
          <w:szCs w:val="28"/>
        </w:rPr>
        <w:t xml:space="preserve">на 2026 год и 5 220 000,00 рублей ежегодно на 202</w:t>
      </w:r>
      <w:r>
        <w:rPr>
          <w:sz w:val="28"/>
          <w:szCs w:val="28"/>
        </w:rPr>
        <w:t xml:space="preserve">7 – 202</w:t>
      </w:r>
      <w:r>
        <w:rPr>
          <w:sz w:val="28"/>
          <w:szCs w:val="28"/>
        </w:rPr>
        <w:t xml:space="preserve">8 годы;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компенсацию расходов по оплате жилого помещения и коммунальных услуг, приобретению топлива и газоснабжению сп</w:t>
      </w:r>
      <w:r>
        <w:rPr>
          <w:sz w:val="28"/>
          <w:szCs w:val="28"/>
        </w:rPr>
        <w:t xml:space="preserve">ециалистам в сельской местности (</w:t>
      </w:r>
      <w:r>
        <w:rPr>
          <w:sz w:val="28"/>
          <w:szCs w:val="28"/>
        </w:rPr>
        <w:t xml:space="preserve">КБК</w:t>
      </w:r>
      <w:r>
        <w:rPr>
          <w:sz w:val="28"/>
          <w:szCs w:val="28"/>
        </w:rPr>
        <w:t xml:space="preserve"> 023 1003 2830404450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– 2 056 860 000</w:t>
      </w:r>
      <w:r>
        <w:rPr>
          <w:sz w:val="28"/>
          <w:szCs w:val="28"/>
        </w:rPr>
        <w:t xml:space="preserve">,00 рублей </w:t>
      </w:r>
      <w:r>
        <w:rPr>
          <w:sz w:val="28"/>
          <w:szCs w:val="28"/>
        </w:rPr>
        <w:t xml:space="preserve">на 2026 год и 2 105 530 000,00 рублей ежегодно на 202</w:t>
      </w:r>
      <w:r>
        <w:rPr>
          <w:sz w:val="28"/>
          <w:szCs w:val="28"/>
        </w:rPr>
        <w:t xml:space="preserve">7 – 202</w:t>
      </w:r>
      <w:r>
        <w:rPr>
          <w:sz w:val="28"/>
          <w:szCs w:val="28"/>
        </w:rPr>
        <w:t xml:space="preserve">8 годы;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компенсацию расходов по оплате коммунальных услуг, приобретению топлива и газоснабжению многодетн</w:t>
      </w:r>
      <w:r>
        <w:rPr>
          <w:sz w:val="28"/>
          <w:szCs w:val="28"/>
        </w:rPr>
        <w:t xml:space="preserve">ым, приемным семьям (</w:t>
      </w:r>
      <w:r>
        <w:rPr>
          <w:sz w:val="28"/>
          <w:szCs w:val="28"/>
        </w:rPr>
        <w:t xml:space="preserve">КБК 0</w:t>
      </w:r>
      <w:r>
        <w:rPr>
          <w:sz w:val="28"/>
          <w:szCs w:val="28"/>
        </w:rPr>
        <w:t xml:space="preserve">23 1003 281Я204599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578 450 000,00 рублей </w:t>
      </w:r>
      <w:r>
        <w:rPr>
          <w:sz w:val="28"/>
          <w:szCs w:val="28"/>
        </w:rPr>
        <w:t xml:space="preserve">на 2026 год и 592 140 000,00 рублей ежегодно на 202</w:t>
      </w:r>
      <w:r>
        <w:rPr>
          <w:sz w:val="28"/>
          <w:szCs w:val="28"/>
        </w:rPr>
        <w:t xml:space="preserve">7 – 202</w:t>
      </w:r>
      <w:r>
        <w:rPr>
          <w:sz w:val="28"/>
          <w:szCs w:val="28"/>
        </w:rPr>
        <w:t xml:space="preserve">8 годы;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оплату жилищно-коммунальных услуг отдельным категориям граждан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КБК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023 100</w:t>
      </w:r>
      <w:r>
        <w:rPr>
          <w:sz w:val="28"/>
          <w:szCs w:val="28"/>
        </w:rPr>
        <w:t xml:space="preserve">3 28304</w:t>
      </w:r>
      <w:r>
        <w:rPr>
          <w:sz w:val="28"/>
          <w:szCs w:val="28"/>
        </w:rPr>
        <w:t xml:space="preserve">052500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1 908 670 900,00 рублей </w:t>
      </w:r>
      <w:r>
        <w:rPr>
          <w:sz w:val="28"/>
          <w:szCs w:val="28"/>
        </w:rPr>
        <w:t xml:space="preserve">на 2026 год,  1 907 614 400,00 рублей на 2027 год и 1 907 283 700,00</w:t>
      </w:r>
      <w:r>
        <w:rPr>
          <w:sz w:val="28"/>
          <w:szCs w:val="28"/>
        </w:rPr>
        <w:t xml:space="preserve"> рублей на 202</w:t>
      </w:r>
      <w:r>
        <w:rPr>
          <w:sz w:val="28"/>
          <w:szCs w:val="28"/>
        </w:rPr>
        <w:t xml:space="preserve">8 год;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финансовое обеспечение услуг доставки социальных выплат (КБК 023 1006 28.3.04.05260 244):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2026 год – 200 344 900,00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2027 год – 209 000 010,90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2028 год – 209 000 002,24 рублей.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Реализация закона будет осуществляться в пределах предусмотренных министерству бюджетных ассигнований, дополнительных средств из областного бюджета Новосибирской области не потребуется.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Выпадающие доходы областного бюджета Новосибирской области при реализации закона отсутствуют.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</w:t>
      </w:r>
      <w:r>
        <w:rPr>
          <w:sz w:val="28"/>
          <w:szCs w:val="28"/>
        </w:rPr>
        <w:t xml:space="preserve">ами</w:t>
      </w:r>
      <w:r>
        <w:rPr>
          <w:sz w:val="28"/>
          <w:szCs w:val="28"/>
        </w:rPr>
        <w:t xml:space="preserve"> реализации закона </w:t>
      </w:r>
      <w:r>
        <w:rPr>
          <w:sz w:val="28"/>
          <w:szCs w:val="28"/>
        </w:rPr>
        <w:t xml:space="preserve">является</w:t>
      </w:r>
      <w:r>
        <w:rPr>
          <w:sz w:val="28"/>
          <w:szCs w:val="28"/>
        </w:rPr>
        <w:t xml:space="preserve"> министерство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подведомственные </w:t>
      </w:r>
      <w:r>
        <w:rPr>
          <w:sz w:val="28"/>
          <w:szCs w:val="28"/>
        </w:rPr>
        <w:t xml:space="preserve">министерству </w:t>
      </w:r>
      <w:r>
        <w:rPr>
          <w:sz w:val="28"/>
          <w:szCs w:val="28"/>
        </w:rPr>
        <w:t xml:space="preserve">учреждения – центры социальной поддержки населения</w:t>
      </w:r>
      <w:r>
        <w:rPr>
          <w:sz w:val="28"/>
          <w:szCs w:val="28"/>
        </w:rPr>
        <w:t xml:space="preserve"> г. </w:t>
      </w:r>
      <w:r>
        <w:rPr>
          <w:sz w:val="28"/>
          <w:szCs w:val="28"/>
        </w:rPr>
        <w:t xml:space="preserve">Новосибирска и Новосибирской области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304" w:right="567" w:bottom="851" w:left="1418" w:header="680" w:footer="68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405"/>
        <w:tabs>
          <w:tab w:val="num" w:pos="40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5" w:hanging="495"/>
        <w:tabs>
          <w:tab w:val="num" w:pos="85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40"/>
    <w:next w:val="840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40"/>
    <w:next w:val="840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40"/>
    <w:next w:val="840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40"/>
    <w:next w:val="840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40"/>
    <w:next w:val="840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40"/>
    <w:next w:val="840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40"/>
    <w:next w:val="840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40"/>
    <w:next w:val="840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40"/>
    <w:next w:val="840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840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paragraph" w:styleId="682">
    <w:name w:val="Title"/>
    <w:basedOn w:val="840"/>
    <w:next w:val="840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link w:val="682"/>
    <w:uiPriority w:val="10"/>
    <w:rPr>
      <w:sz w:val="48"/>
      <w:szCs w:val="48"/>
    </w:rPr>
  </w:style>
  <w:style w:type="paragraph" w:styleId="684">
    <w:name w:val="Subtitle"/>
    <w:basedOn w:val="840"/>
    <w:next w:val="840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840"/>
    <w:next w:val="840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40"/>
    <w:next w:val="840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840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link w:val="690"/>
    <w:uiPriority w:val="99"/>
  </w:style>
  <w:style w:type="paragraph" w:styleId="692">
    <w:name w:val="Footer"/>
    <w:basedOn w:val="840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link w:val="692"/>
    <w:uiPriority w:val="99"/>
  </w:style>
  <w:style w:type="paragraph" w:styleId="694">
    <w:name w:val="Caption"/>
    <w:basedOn w:val="840"/>
    <w:next w:val="8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692"/>
    <w:uiPriority w:val="99"/>
  </w:style>
  <w:style w:type="table" w:styleId="69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Hyperlink"/>
    <w:uiPriority w:val="99"/>
    <w:unhideWhenUsed/>
    <w:rPr>
      <w:color w:val="0000ff" w:themeColor="hyperlink"/>
      <w:u w:val="single"/>
    </w:rPr>
  </w:style>
  <w:style w:type="paragraph" w:styleId="823">
    <w:name w:val="footnote text"/>
    <w:basedOn w:val="840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uiPriority w:val="99"/>
    <w:unhideWhenUsed/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next w:val="840"/>
    <w:link w:val="840"/>
    <w:qFormat/>
    <w:rPr>
      <w:sz w:val="28"/>
      <w:lang w:val="ru-RU" w:eastAsia="ru-RU" w:bidi="ar-SA"/>
    </w:rPr>
  </w:style>
  <w:style w:type="character" w:styleId="841">
    <w:name w:val="Основной шрифт абзаца"/>
    <w:next w:val="841"/>
    <w:link w:val="840"/>
    <w:semiHidden/>
  </w:style>
  <w:style w:type="table" w:styleId="842">
    <w:name w:val="Обычная таблица"/>
    <w:next w:val="842"/>
    <w:link w:val="840"/>
    <w:semiHidden/>
    <w:tblPr/>
  </w:style>
  <w:style w:type="numbering" w:styleId="843">
    <w:name w:val="Нет списка"/>
    <w:next w:val="843"/>
    <w:link w:val="840"/>
    <w:semiHidden/>
  </w:style>
  <w:style w:type="paragraph" w:styleId="844">
    <w:name w:val="Основной текст"/>
    <w:basedOn w:val="840"/>
    <w:next w:val="844"/>
    <w:link w:val="840"/>
    <w:pPr>
      <w:jc w:val="center"/>
    </w:pPr>
  </w:style>
  <w:style w:type="paragraph" w:styleId="845">
    <w:name w:val="Название"/>
    <w:basedOn w:val="840"/>
    <w:next w:val="845"/>
    <w:link w:val="840"/>
    <w:qFormat/>
    <w:pPr>
      <w:jc w:val="center"/>
    </w:pPr>
    <w:rPr>
      <w:b/>
    </w:rPr>
  </w:style>
  <w:style w:type="paragraph" w:styleId="846">
    <w:name w:val="Верхний колонтитул"/>
    <w:basedOn w:val="840"/>
    <w:next w:val="846"/>
    <w:link w:val="847"/>
    <w:pPr>
      <w:tabs>
        <w:tab w:val="center" w:pos="4153" w:leader="none"/>
        <w:tab w:val="right" w:pos="8306" w:leader="none"/>
      </w:tabs>
    </w:pPr>
  </w:style>
  <w:style w:type="character" w:styleId="847">
    <w:name w:val="Верхний колонтитул Знак"/>
    <w:next w:val="847"/>
    <w:link w:val="846"/>
    <w:rPr>
      <w:sz w:val="28"/>
    </w:rPr>
  </w:style>
  <w:style w:type="paragraph" w:styleId="848">
    <w:name w:val="Текст выноски"/>
    <w:basedOn w:val="840"/>
    <w:next w:val="848"/>
    <w:link w:val="849"/>
    <w:rPr>
      <w:rFonts w:ascii="Tahoma" w:hAnsi="Tahoma" w:cs="Tahoma"/>
      <w:sz w:val="16"/>
      <w:szCs w:val="16"/>
    </w:rPr>
  </w:style>
  <w:style w:type="character" w:styleId="849">
    <w:name w:val="Текст выноски Знак"/>
    <w:next w:val="849"/>
    <w:link w:val="848"/>
    <w:rPr>
      <w:rFonts w:ascii="Tahoma" w:hAnsi="Tahoma" w:cs="Tahoma"/>
      <w:sz w:val="16"/>
      <w:szCs w:val="16"/>
    </w:rPr>
  </w:style>
  <w:style w:type="paragraph" w:styleId="850">
    <w:name w:val="Нижний колонтитул"/>
    <w:basedOn w:val="840"/>
    <w:next w:val="850"/>
    <w:link w:val="851"/>
    <w:pPr>
      <w:tabs>
        <w:tab w:val="center" w:pos="4677" w:leader="none"/>
        <w:tab w:val="right" w:pos="9355" w:leader="none"/>
      </w:tabs>
    </w:pPr>
  </w:style>
  <w:style w:type="character" w:styleId="851">
    <w:name w:val="Нижний колонтитул Знак"/>
    <w:next w:val="851"/>
    <w:link w:val="850"/>
    <w:rPr>
      <w:sz w:val="28"/>
    </w:rPr>
  </w:style>
  <w:style w:type="character" w:styleId="852" w:default="1">
    <w:name w:val="Default Paragraph Font"/>
    <w:uiPriority w:val="1"/>
    <w:semiHidden/>
    <w:unhideWhenUsed/>
  </w:style>
  <w:style w:type="numbering" w:styleId="853" w:default="1">
    <w:name w:val="No List"/>
    <w:uiPriority w:val="99"/>
    <w:semiHidden/>
    <w:unhideWhenUsed/>
  </w:style>
  <w:style w:type="table" w:styleId="854" w:default="1">
    <w:name w:val="Normal Table"/>
    <w:uiPriority w:val="99"/>
    <w:semiHidden/>
    <w:unhideWhenUsed/>
    <w:tblPr/>
  </w:style>
  <w:style w:type="paragraph" w:styleId="855" w:customStyle="1">
    <w:name w:val="ConsPlusNormal"/>
    <w:link w:val="852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revision>42</cp:revision>
  <dcterms:created xsi:type="dcterms:W3CDTF">2021-02-09T08:18:00Z</dcterms:created>
  <dcterms:modified xsi:type="dcterms:W3CDTF">2026-04-13T05:46:50Z</dcterms:modified>
  <cp:version>983040</cp:version>
</cp:coreProperties>
</file>